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rial" w:hAnsi="Arial"/>
          <w:b/>
          <w:sz w:val="32"/>
        </w:rPr>
        <w:t>RAYNIE FIKE, BSN, RN, CCM</w:t>
      </w:r>
    </w:p>
    <w:p>
      <w:pPr>
        <w:spacing w:after="20"/>
        <w:jc w:val="center"/>
      </w:pPr>
      <w:r>
        <w:rPr>
          <w:rFonts w:ascii="Arial" w:hAnsi="Arial"/>
          <w:b/>
          <w:sz w:val="22"/>
        </w:rPr>
        <w:t>CLINICAL OPERATIONS &amp; CARE MANAGEMENT LEADER</w:t>
      </w:r>
    </w:p>
    <w:p>
      <w:pPr>
        <w:spacing w:after="40"/>
        <w:jc w:val="center"/>
      </w:pPr>
      <w:r>
        <w:rPr>
          <w:rFonts w:ascii="Arial" w:hAnsi="Arial"/>
          <w:b w:val="0"/>
          <w:sz w:val="19"/>
        </w:rPr>
        <w:t>Population Health | Managed Care | Quality Improvement | Value-Based Care</w:t>
      </w:r>
    </w:p>
    <w:p>
      <w:pPr>
        <w:spacing w:after="20"/>
        <w:jc w:val="center"/>
      </w:pPr>
      <w:r>
        <w:rPr>
          <w:rFonts w:ascii="Arial" w:hAnsi="Arial"/>
          <w:b w:val="0"/>
          <w:sz w:val="18"/>
        </w:rPr>
        <w:t>Litchfield Park, Arizona | 623-703-0636 | Rayniefike@icloud.com</w:t>
      </w:r>
    </w:p>
    <w:p>
      <w:pPr>
        <w:spacing w:after="80"/>
        <w:jc w:val="center"/>
      </w:pPr>
      <w:r>
        <w:rPr>
          <w:rFonts w:ascii="Arial" w:hAnsi="Arial"/>
          <w:b w:val="0"/>
          <w:sz w:val="17"/>
        </w:rPr>
        <w:t>California RN #95469373 | Nurse Licensure Compact #190777 | Certified Case Manager #4258931</w:t>
      </w:r>
    </w:p>
    <w:p>
      <w:pPr>
        <w:spacing w:after="60" w:before="100"/>
      </w:pPr>
      <w:r>
        <w:rPr>
          <w:rFonts w:ascii="Arial" w:hAnsi="Arial"/>
          <w:b/>
          <w:sz w:val="21"/>
        </w:rPr>
        <w:t>LEADERSHIP PROFILE</w:t>
      </w:r>
    </w:p>
    <w:p>
      <w:pPr>
        <w:spacing w:after="40"/>
      </w:pPr>
      <w:r>
        <w:rPr>
          <w:rFonts w:ascii="Arial" w:hAnsi="Arial"/>
          <w:b w:val="0"/>
        </w:rPr>
        <w:t>Clinical operations and care management leader with 15+ years of progressive healthcare leadership experience across managed care, ambulatory care, home-based care, pediatric acute care, skilled nursing, and population health. Experienced leading interdisciplinary teams of 20+ across multi-site and multi-state operations, improving transitions of care, reducing avoidable utilization, strengthening regulatory and quality performance, and translating complex clinical requirements into practical workflows. Known for using performance trends and frontline insight to identify operational gaps, build scalable solutions, and partner with clinical and executive leaders to improve outcomes.</w:t>
      </w:r>
    </w:p>
    <w:p>
      <w:pPr>
        <w:spacing w:after="60" w:before="100"/>
      </w:pPr>
      <w:r>
        <w:rPr>
          <w:rFonts w:ascii="Arial" w:hAnsi="Arial"/>
          <w:b/>
          <w:sz w:val="21"/>
        </w:rPr>
        <w:t>CORE LEADERSHIP EXPERTISE</w:t>
      </w:r>
    </w:p>
    <w:p>
      <w:pPr>
        <w:spacing w:after="40"/>
      </w:pPr>
      <w:r>
        <w:rPr>
          <w:rFonts w:ascii="Arial" w:hAnsi="Arial"/>
          <w:b w:val="0"/>
        </w:rPr>
        <w:t>Clinical Operations | Care &amp; Case Management | Utilization Management | Population Health | Medicaid &amp; Medicare Advantage | Value-Based Care | Transitions of Care | Quality Improvement | NCQA / PCMH / HEDIS | DHCS / CalAIM / ECM | CMS | Clinical Workflow Improvement | Regulatory Readiness | Root Cause Analysis | Corrective Action | Staff Development | Change Management | Executive Communication</w:t>
      </w:r>
    </w:p>
    <w:p>
      <w:pPr>
        <w:spacing w:after="60" w:before="100"/>
      </w:pPr>
      <w:r>
        <w:rPr>
          <w:rFonts w:ascii="Arial" w:hAnsi="Arial"/>
          <w:b/>
          <w:sz w:val="21"/>
        </w:rPr>
        <w:t>SELECTED LEADERSHIP IMPACT</w:t>
      </w:r>
    </w:p>
    <w:p>
      <w:pPr>
        <w:pStyle w:val="ListBullet"/>
        <w:spacing w:after="30"/>
        <w:ind w:left="259" w:hanging="173"/>
      </w:pPr>
      <w:r>
        <w:t>Increased DHCS Enhanced Care Management documentation compliance from 58% to 87% within one month through care-plan redesign, audit tools, training, and standardized guidance.</w:t>
      </w:r>
    </w:p>
    <w:p>
      <w:pPr>
        <w:pStyle w:val="ListBullet"/>
        <w:spacing w:after="30"/>
        <w:ind w:left="259" w:hanging="173"/>
      </w:pPr>
      <w:r>
        <w:t>Reduced care-plan documentation burden by approximately 40%, decreasing workflow clicks from 264 to 158 per care plan.</w:t>
      </w:r>
    </w:p>
    <w:p>
      <w:pPr>
        <w:pStyle w:val="ListBullet"/>
        <w:spacing w:after="30"/>
        <w:ind w:left="259" w:hanging="173"/>
      </w:pPr>
      <w:r>
        <w:t>Led approximately 22 interdisciplinary staff across 18 ambulatory practices and supported multi-state clinical operations.</w:t>
      </w:r>
    </w:p>
    <w:p>
      <w:pPr>
        <w:pStyle w:val="ListBullet"/>
        <w:spacing w:after="30"/>
        <w:ind w:left="259" w:hanging="173"/>
      </w:pPr>
      <w:r>
        <w:t>Achieved hospital readmission performance below 13% through redesigned transitions-of-care workflows and strengthened high-risk follow-up.</w:t>
      </w:r>
    </w:p>
    <w:p>
      <w:pPr>
        <w:pStyle w:val="ListBullet"/>
        <w:spacing w:after="30"/>
        <w:ind w:left="259" w:hanging="173"/>
      </w:pPr>
      <w:r>
        <w:t>Led NCQA PCMH accreditation and care-plan improvement work across 18 primary care practices.</w:t>
      </w:r>
    </w:p>
    <w:p>
      <w:pPr>
        <w:spacing w:after="60" w:before="100"/>
      </w:pPr>
      <w:r>
        <w:rPr>
          <w:rFonts w:ascii="Arial" w:hAnsi="Arial"/>
          <w:b/>
          <w:sz w:val="21"/>
        </w:rPr>
        <w:t>PROFESSIONAL EXPERIENCE</w:t>
      </w:r>
    </w:p>
    <w:p>
      <w:pPr>
        <w:spacing w:before="80" w:after="20"/>
      </w:pPr>
      <w:r>
        <w:rPr>
          <w:rFonts w:ascii="Arial" w:hAnsi="Arial"/>
          <w:b/>
          <w:sz w:val="19"/>
        </w:rPr>
        <w:t>RN COMPLIANCE MANAGER</w:t>
      </w:r>
      <w:r>
        <w:rPr>
          <w:rFonts w:ascii="Arial" w:hAnsi="Arial"/>
          <w:sz w:val="18"/>
        </w:rPr>
        <w:t xml:space="preserve"> | Serene Health | California / Remote | 2026 – Present</w:t>
      </w:r>
    </w:p>
    <w:p>
      <w:pPr>
        <w:spacing w:after="20"/>
      </w:pPr>
      <w:r>
        <w:rPr>
          <w:rFonts w:ascii="Arial" w:hAnsi="Arial"/>
          <w:i/>
          <w:sz w:val="17"/>
        </w:rPr>
        <w:t>Supports clinical quality, documentation compliance, workflow improvement, and audit readiness for Enhanced Care Management programs serving complex Medi-Cal populations.</w:t>
      </w:r>
    </w:p>
    <w:p>
      <w:pPr>
        <w:pStyle w:val="ListBullet"/>
        <w:spacing w:after="30"/>
        <w:ind w:left="259" w:hanging="173"/>
      </w:pPr>
      <w:r>
        <w:rPr>
          <w:rFonts w:ascii="Arial" w:hAnsi="Arial"/>
          <w:sz w:val="18"/>
        </w:rPr>
        <w:t>Redesigned ECM documentation and care-planning workflows, increasing average compliance from 58% to 87% within one month while reducing documentation burden by approximately 40%.</w:t>
      </w:r>
    </w:p>
    <w:p>
      <w:pPr>
        <w:pStyle w:val="ListBullet"/>
        <w:spacing w:after="30"/>
        <w:ind w:left="259" w:hanging="173"/>
      </w:pPr>
      <w:r>
        <w:rPr>
          <w:rFonts w:ascii="Arial" w:hAnsi="Arial"/>
          <w:sz w:val="18"/>
        </w:rPr>
        <w:t>Analyze audit findings and documentation trends to identify systemic performance gaps and translate findings into practical recommendations for clinical leadership.</w:t>
      </w:r>
    </w:p>
    <w:p>
      <w:pPr>
        <w:pStyle w:val="ListBullet"/>
        <w:spacing w:after="30"/>
        <w:ind w:left="259" w:hanging="173"/>
      </w:pPr>
      <w:r>
        <w:rPr>
          <w:rFonts w:ascii="Arial" w:hAnsi="Arial"/>
          <w:sz w:val="18"/>
        </w:rPr>
        <w:t>Develop standardized care-plan guidance, audit tools, competency assessments, training content, and documentation examples aligned with DHCS and managed-care-plan expectations.</w:t>
      </w:r>
    </w:p>
    <w:p>
      <w:pPr>
        <w:pStyle w:val="ListBullet"/>
        <w:spacing w:after="30"/>
        <w:ind w:left="259" w:hanging="173"/>
      </w:pPr>
      <w:r>
        <w:rPr>
          <w:rFonts w:ascii="Arial" w:hAnsi="Arial"/>
          <w:sz w:val="18"/>
        </w:rPr>
        <w:t>Partner with nursing and operational leaders on clinical workflow design, documentation standards, corrective actions, and process-improvement initiatives.</w:t>
      </w:r>
    </w:p>
    <w:p>
      <w:pPr>
        <w:pStyle w:val="ListBullet"/>
        <w:spacing w:after="30"/>
        <w:ind w:left="259" w:hanging="173"/>
      </w:pPr>
      <w:r>
        <w:rPr>
          <w:rFonts w:ascii="Arial" w:hAnsi="Arial"/>
          <w:sz w:val="18"/>
        </w:rPr>
        <w:t>Support audit readiness and interdisciplinary documentation consistency across RN, MA, CHW, and Lead Care Manager workflows.</w:t>
      </w:r>
    </w:p>
    <w:p>
      <w:pPr>
        <w:spacing w:before="80" w:after="20"/>
      </w:pPr>
      <w:r>
        <w:rPr>
          <w:rFonts w:ascii="Arial" w:hAnsi="Arial"/>
          <w:b/>
          <w:sz w:val="19"/>
        </w:rPr>
        <w:t>REGIONAL MANAGER</w:t>
      </w:r>
      <w:r>
        <w:rPr>
          <w:rFonts w:ascii="Arial" w:hAnsi="Arial"/>
          <w:sz w:val="18"/>
        </w:rPr>
        <w:t xml:space="preserve"> | Evernorth Care Group | Arizona | 09/2024 – 2026</w:t>
      </w:r>
    </w:p>
    <w:p>
      <w:pPr>
        <w:spacing w:after="20"/>
      </w:pPr>
      <w:r>
        <w:rPr>
          <w:rFonts w:ascii="Arial" w:hAnsi="Arial"/>
          <w:i/>
          <w:sz w:val="17"/>
        </w:rPr>
        <w:t>Led clinical and operational strategy across 18 primary care, dermatology, and behavioral health practices, aligning quality, patient experience, utilization, and value-based care priorities.</w:t>
      </w:r>
    </w:p>
    <w:p>
      <w:pPr>
        <w:pStyle w:val="ListBullet"/>
        <w:spacing w:after="30"/>
        <w:ind w:left="259" w:hanging="173"/>
      </w:pPr>
      <w:r>
        <w:rPr>
          <w:rFonts w:ascii="Arial" w:hAnsi="Arial"/>
          <w:sz w:val="18"/>
        </w:rPr>
        <w:t>Led approximately 22 interdisciplinary staff, including RN case managers, care navigators, social workers, and a registered dietitian, across 18 care centers.</w:t>
      </w:r>
    </w:p>
    <w:p>
      <w:pPr>
        <w:pStyle w:val="ListBullet"/>
        <w:spacing w:after="30"/>
        <w:ind w:left="259" w:hanging="173"/>
      </w:pPr>
      <w:r>
        <w:rPr>
          <w:rFonts w:ascii="Arial" w:hAnsi="Arial"/>
          <w:sz w:val="18"/>
        </w:rPr>
        <w:t>Achieved hospital readmission performance below 13% by redesigning transitions-of-care workflows, standardizing outreach expectations, and strengthening chronic disease management oversight.</w:t>
      </w:r>
    </w:p>
    <w:p>
      <w:pPr>
        <w:pStyle w:val="ListBullet"/>
        <w:spacing w:after="30"/>
        <w:ind w:left="259" w:hanging="173"/>
      </w:pPr>
      <w:r>
        <w:rPr>
          <w:rFonts w:ascii="Arial" w:hAnsi="Arial"/>
          <w:sz w:val="18"/>
        </w:rPr>
        <w:t>Designed and launched a standardized Epic Care Plan module supporting PCMH-compliant, patient-centered planning and trained case managers across the region.</w:t>
      </w:r>
    </w:p>
    <w:p>
      <w:pPr>
        <w:pStyle w:val="ListBullet"/>
        <w:spacing w:after="30"/>
        <w:ind w:left="259" w:hanging="173"/>
      </w:pPr>
      <w:r>
        <w:rPr>
          <w:rFonts w:ascii="Arial" w:hAnsi="Arial"/>
          <w:sz w:val="18"/>
        </w:rPr>
        <w:t>Standardized care-management workflows and structured peer review of complex cases, strengthening accountability, collaboration, and evidence-based practice.</w:t>
      </w:r>
    </w:p>
    <w:p>
      <w:pPr>
        <w:spacing w:before="80" w:after="20"/>
      </w:pPr>
      <w:r>
        <w:rPr>
          <w:rFonts w:ascii="Arial" w:hAnsi="Arial"/>
          <w:b/>
          <w:sz w:val="19"/>
        </w:rPr>
        <w:t>REGIONAL HEALTH SERVICES MANAGER</w:t>
      </w:r>
      <w:r>
        <w:rPr>
          <w:rFonts w:ascii="Arial" w:hAnsi="Arial"/>
          <w:sz w:val="18"/>
        </w:rPr>
        <w:t xml:space="preserve"> | Optum Home &amp; Community Care | Arizona, Utah &amp; Colorado | 02/2023 – 09/2024</w:t>
      </w:r>
    </w:p>
    <w:p>
      <w:pPr>
        <w:spacing w:after="20"/>
      </w:pPr>
      <w:r>
        <w:rPr>
          <w:rFonts w:ascii="Arial" w:hAnsi="Arial"/>
          <w:i/>
          <w:sz w:val="17"/>
        </w:rPr>
        <w:t>Directed multi-state clinical operations supporting high-risk Medicare Advantage and home-based populations through growth, integration, and organizational change.</w:t>
      </w:r>
    </w:p>
    <w:p>
      <w:pPr>
        <w:pStyle w:val="ListBullet"/>
        <w:spacing w:after="30"/>
        <w:ind w:left="259" w:hanging="173"/>
      </w:pPr>
      <w:r>
        <w:rPr>
          <w:rFonts w:ascii="Arial" w:hAnsi="Arial"/>
          <w:sz w:val="18"/>
        </w:rPr>
        <w:t>Guided regional operations through two acquisitions while sustaining continuity of care, team engagement, and quality performance.</w:t>
      </w:r>
    </w:p>
    <w:p>
      <w:pPr>
        <w:pStyle w:val="ListBullet"/>
        <w:spacing w:after="30"/>
        <w:ind w:left="259" w:hanging="173"/>
      </w:pPr>
      <w:r>
        <w:rPr>
          <w:rFonts w:ascii="Arial" w:hAnsi="Arial"/>
          <w:sz w:val="18"/>
        </w:rPr>
        <w:t>Led virtual care-management programs with RNs, care coordinators, physicians, and advanced-practice providers serving high-risk home-based patients.</w:t>
      </w:r>
    </w:p>
    <w:p>
      <w:pPr>
        <w:pStyle w:val="ListBullet"/>
        <w:spacing w:after="30"/>
        <w:ind w:left="259" w:hanging="173"/>
      </w:pPr>
      <w:r>
        <w:rPr>
          <w:rFonts w:ascii="Arial" w:hAnsi="Arial"/>
          <w:sz w:val="18"/>
        </w:rPr>
        <w:t>Implemented structured case rounds with Medical Directors to strengthen clinical oversight, accountability, and interdisciplinary decision-making.</w:t>
      </w:r>
    </w:p>
    <w:p>
      <w:pPr>
        <w:pStyle w:val="ListBullet"/>
        <w:spacing w:after="30"/>
        <w:ind w:left="259" w:hanging="173"/>
      </w:pPr>
      <w:r>
        <w:rPr>
          <w:rFonts w:ascii="Arial" w:hAnsi="Arial"/>
          <w:sz w:val="18"/>
        </w:rPr>
        <w:t>Improved NCQA, HEDIS, and regulatory performance through staff education, documentation standards, quality metrics, and audit readiness.</w:t>
      </w:r>
    </w:p>
    <w:p>
      <w:pPr>
        <w:pStyle w:val="ListBullet"/>
        <w:spacing w:after="30"/>
        <w:ind w:left="259" w:hanging="173"/>
      </w:pPr>
      <w:r>
        <w:rPr>
          <w:rFonts w:ascii="Arial" w:hAnsi="Arial"/>
          <w:sz w:val="18"/>
        </w:rPr>
        <w:t>Collaborated with analytics teams to improve reporting accuracy and operational visibility; conducted root-cause analyses and corrective action planning for grievances, incidents, and near misses.</w:t>
      </w:r>
    </w:p>
    <w:p>
      <w:pPr>
        <w:spacing w:before="80" w:after="20"/>
      </w:pPr>
      <w:r>
        <w:rPr>
          <w:rFonts w:ascii="Arial" w:hAnsi="Arial"/>
          <w:b/>
          <w:sz w:val="19"/>
        </w:rPr>
        <w:t>DIRECTOR OF NURSING</w:t>
      </w:r>
      <w:r>
        <w:rPr>
          <w:rFonts w:ascii="Arial" w:hAnsi="Arial"/>
          <w:sz w:val="18"/>
        </w:rPr>
        <w:t xml:space="preserve"> | Continuum Pediatric Nursing Services | Arizona | 04/2022 – 02/2023</w:t>
      </w:r>
    </w:p>
    <w:p>
      <w:pPr>
        <w:spacing w:after="20"/>
      </w:pPr>
      <w:r>
        <w:rPr>
          <w:rFonts w:ascii="Arial" w:hAnsi="Arial"/>
          <w:i/>
          <w:sz w:val="17"/>
        </w:rPr>
        <w:t>Established and operationalized the Arizona nursing division for a pediatric home-health organization.</w:t>
      </w:r>
    </w:p>
    <w:p>
      <w:pPr>
        <w:pStyle w:val="ListBullet"/>
        <w:spacing w:after="30"/>
        <w:ind w:left="259" w:hanging="173"/>
      </w:pPr>
      <w:r>
        <w:rPr>
          <w:rFonts w:ascii="Arial" w:hAnsi="Arial"/>
          <w:sz w:val="18"/>
        </w:rPr>
        <w:t>Managed clinical operations, intake, regulatory compliance, quality performance, staffing, and cross-functional business support.</w:t>
      </w:r>
    </w:p>
    <w:p>
      <w:pPr>
        <w:pStyle w:val="ListBullet"/>
        <w:spacing w:after="30"/>
        <w:ind w:left="259" w:hanging="173"/>
      </w:pPr>
      <w:r>
        <w:rPr>
          <w:rFonts w:ascii="Arial" w:hAnsi="Arial"/>
          <w:sz w:val="18"/>
        </w:rPr>
        <w:t>Led AZDHS licensure, ALTCS applications, site reviews, and regulatory-readiness activities required for operational approval.</w:t>
      </w:r>
    </w:p>
    <w:p>
      <w:pPr>
        <w:pStyle w:val="ListBullet"/>
        <w:spacing w:after="30"/>
        <w:ind w:left="259" w:hanging="173"/>
      </w:pPr>
      <w:r>
        <w:rPr>
          <w:rFonts w:ascii="Arial" w:hAnsi="Arial"/>
          <w:sz w:val="18"/>
        </w:rPr>
        <w:t>Built recruitment, onboarding, competency, scheduling, performance-management, policy, and scalable clinical workflow processes.</w:t>
      </w:r>
    </w:p>
    <w:p>
      <w:pPr>
        <w:spacing w:before="80" w:after="20"/>
      </w:pPr>
      <w:r>
        <w:rPr>
          <w:rFonts w:ascii="Arial" w:hAnsi="Arial"/>
          <w:b/>
          <w:sz w:val="19"/>
        </w:rPr>
        <w:t>CLINICAL OPERATIONS MANAGER</w:t>
      </w:r>
      <w:r>
        <w:rPr>
          <w:rFonts w:ascii="Arial" w:hAnsi="Arial"/>
          <w:sz w:val="18"/>
        </w:rPr>
        <w:t xml:space="preserve"> | CenterWell Home Health | Peoria, Arizona | 07/2021 – 04/2022</w:t>
      </w:r>
    </w:p>
    <w:p>
      <w:pPr>
        <w:spacing w:after="20"/>
      </w:pPr>
      <w:r>
        <w:rPr>
          <w:rFonts w:ascii="Arial" w:hAnsi="Arial"/>
          <w:i/>
          <w:sz w:val="17"/>
        </w:rPr>
        <w:t>Led clinical quality, operational performance, and interdisciplinary workflow improvement during acquisition and organizational transformation.</w:t>
      </w:r>
    </w:p>
    <w:p>
      <w:pPr>
        <w:pStyle w:val="ListBullet"/>
        <w:spacing w:after="30"/>
        <w:ind w:left="259" w:hanging="173"/>
      </w:pPr>
      <w:r>
        <w:rPr>
          <w:rFonts w:ascii="Arial" w:hAnsi="Arial"/>
          <w:sz w:val="18"/>
        </w:rPr>
        <w:t>Led quality and performance-improvement initiatives supporting lower readmissions, improved patient satisfaction, and stronger STAR performance.</w:t>
      </w:r>
    </w:p>
    <w:p>
      <w:pPr>
        <w:pStyle w:val="ListBullet"/>
        <w:spacing w:after="30"/>
        <w:ind w:left="259" w:hanging="173"/>
      </w:pPr>
      <w:r>
        <w:rPr>
          <w:rFonts w:ascii="Arial" w:hAnsi="Arial"/>
          <w:sz w:val="18"/>
        </w:rPr>
        <w:t>Optimized clinical workflows and documentation processes to improve care coordination, compliance, and clinical decision-making.</w:t>
      </w:r>
    </w:p>
    <w:p>
      <w:pPr>
        <w:pStyle w:val="ListBullet"/>
        <w:spacing w:after="30"/>
        <w:ind w:left="259" w:hanging="173"/>
      </w:pPr>
      <w:r>
        <w:rPr>
          <w:rFonts w:ascii="Arial" w:hAnsi="Arial"/>
          <w:sz w:val="18"/>
        </w:rPr>
        <w:t>Aligned quality metrics, documentation accuracy, and care-management processes with value-based performance objectives.</w:t>
      </w:r>
    </w:p>
    <w:p>
      <w:pPr>
        <w:spacing w:before="80" w:after="20"/>
      </w:pPr>
      <w:r>
        <w:rPr>
          <w:rFonts w:ascii="Arial" w:hAnsi="Arial"/>
          <w:b/>
          <w:sz w:val="19"/>
        </w:rPr>
        <w:t>ASSISTANT DIRECTOR OF NURSING</w:t>
      </w:r>
      <w:r>
        <w:rPr>
          <w:rFonts w:ascii="Arial" w:hAnsi="Arial"/>
          <w:sz w:val="18"/>
        </w:rPr>
        <w:t xml:space="preserve"> | North Mountain Healthcare LLC | Phoenix, Arizona | 10/2020 – 07/2021</w:t>
      </w:r>
    </w:p>
    <w:p>
      <w:pPr>
        <w:spacing w:after="20"/>
      </w:pPr>
      <w:r>
        <w:rPr>
          <w:rFonts w:ascii="Arial" w:hAnsi="Arial"/>
          <w:i/>
          <w:sz w:val="17"/>
        </w:rPr>
        <w:t>Provided leadership oversight of clinical operations, staffing, regulatory compliance, infection prevention, quality, and financial performance.</w:t>
      </w:r>
    </w:p>
    <w:p>
      <w:pPr>
        <w:pStyle w:val="ListBullet"/>
        <w:spacing w:after="30"/>
        <w:ind w:left="259" w:hanging="173"/>
      </w:pPr>
      <w:r>
        <w:rPr>
          <w:rFonts w:ascii="Arial" w:hAnsi="Arial"/>
          <w:sz w:val="18"/>
        </w:rPr>
        <w:t>Led infection-prevention strategy through eight consecutive deficiency-free AZDHS infection-control surveys.</w:t>
      </w:r>
    </w:p>
    <w:p>
      <w:pPr>
        <w:pStyle w:val="ListBullet"/>
        <w:spacing w:after="30"/>
        <w:ind w:left="259" w:hanging="173"/>
      </w:pPr>
      <w:r>
        <w:rPr>
          <w:rFonts w:ascii="Arial" w:hAnsi="Arial"/>
          <w:sz w:val="18"/>
        </w:rPr>
        <w:t>Implemented nursing-practice and quality-improvement initiatives contributing to a 5-Star Annual Inspection Survey.</w:t>
      </w:r>
    </w:p>
    <w:p>
      <w:pPr>
        <w:pStyle w:val="ListBullet"/>
        <w:spacing w:after="30"/>
        <w:ind w:left="259" w:hanging="173"/>
      </w:pPr>
      <w:r>
        <w:rPr>
          <w:rFonts w:ascii="Arial" w:hAnsi="Arial"/>
          <w:sz w:val="18"/>
        </w:rPr>
        <w:t>Improved staffing and budget performance while reducing reliance on registry nurses.</w:t>
      </w:r>
    </w:p>
    <w:p>
      <w:pPr>
        <w:spacing w:before="80" w:after="20"/>
      </w:pPr>
      <w:r>
        <w:rPr>
          <w:rFonts w:ascii="Arial" w:hAnsi="Arial"/>
          <w:b/>
          <w:sz w:val="19"/>
        </w:rPr>
        <w:t>SUPERVISOR, CASE MANAGEMENT</w:t>
      </w:r>
      <w:r>
        <w:rPr>
          <w:rFonts w:ascii="Arial" w:hAnsi="Arial"/>
          <w:sz w:val="18"/>
        </w:rPr>
        <w:t xml:space="preserve"> | Phoenix Children's Hospital | Phoenix, Arizona | 10/2016 – 10/2020</w:t>
      </w:r>
    </w:p>
    <w:p>
      <w:pPr>
        <w:spacing w:after="20"/>
      </w:pPr>
      <w:r>
        <w:rPr>
          <w:rFonts w:ascii="Arial" w:hAnsi="Arial"/>
          <w:i/>
          <w:sz w:val="17"/>
        </w:rPr>
        <w:t>Led hospital-wide pediatric case management, utilization review, resource coordination, and nurse-auditing teams.</w:t>
      </w:r>
    </w:p>
    <w:p>
      <w:pPr>
        <w:pStyle w:val="ListBullet"/>
        <w:spacing w:after="30"/>
        <w:ind w:left="259" w:hanging="173"/>
      </w:pPr>
      <w:r>
        <w:rPr>
          <w:rFonts w:ascii="Arial" w:hAnsi="Arial"/>
          <w:sz w:val="18"/>
        </w:rPr>
        <w:t>Directed RN Case Managers, Resource Coordinators, Utilization Review RNs, and Nurse Auditors responsible for care coordination and utilization strategy.</w:t>
      </w:r>
    </w:p>
    <w:p>
      <w:pPr>
        <w:pStyle w:val="ListBullet"/>
        <w:spacing w:after="30"/>
        <w:ind w:left="259" w:hanging="173"/>
      </w:pPr>
      <w:r>
        <w:rPr>
          <w:rFonts w:ascii="Arial" w:hAnsi="Arial"/>
          <w:sz w:val="18"/>
        </w:rPr>
        <w:t>Redesigned case-management and utilization workflows to support top-of-license practice and improve operational efficiency.</w:t>
      </w:r>
    </w:p>
    <w:p>
      <w:pPr>
        <w:pStyle w:val="ListBullet"/>
        <w:spacing w:after="30"/>
        <w:ind w:left="259" w:hanging="173"/>
      </w:pPr>
      <w:r>
        <w:rPr>
          <w:rFonts w:ascii="Arial" w:hAnsi="Arial"/>
          <w:sz w:val="18"/>
        </w:rPr>
        <w:t>Developed a post-discharge follow-up program for high-risk pediatric patients and scaled an ED diversion initiative improving specialist follow-up and patient flow.</w:t>
      </w:r>
    </w:p>
    <w:p>
      <w:pPr>
        <w:pStyle w:val="ListBullet"/>
        <w:spacing w:after="30"/>
        <w:ind w:left="259" w:hanging="173"/>
      </w:pPr>
      <w:r>
        <w:rPr>
          <w:rFonts w:ascii="Arial" w:hAnsi="Arial"/>
          <w:sz w:val="18"/>
        </w:rPr>
        <w:t>Modernized onboarding, orientation, and training programs to improve competency, engagement, and performance consistency.</w:t>
      </w:r>
    </w:p>
    <w:p>
      <w:pPr>
        <w:spacing w:after="60" w:before="100"/>
      </w:pPr>
      <w:r>
        <w:rPr>
          <w:rFonts w:ascii="Arial" w:hAnsi="Arial"/>
          <w:b/>
          <w:sz w:val="21"/>
        </w:rPr>
        <w:t>EDUCATION</w:t>
      </w:r>
    </w:p>
    <w:p>
      <w:pPr>
        <w:spacing w:after="40"/>
      </w:pPr>
      <w:r>
        <w:rPr>
          <w:rFonts w:ascii="Arial" w:hAnsi="Arial"/>
          <w:b w:val="0"/>
        </w:rPr>
        <w:t>Dual Master of Science in Nursing / Master of Business Administration, Healthcare Systems Leadership — Grand Canyon University, In Progress</w:t>
      </w:r>
    </w:p>
    <w:p>
      <w:pPr>
        <w:spacing w:after="40"/>
      </w:pPr>
      <w:r>
        <w:rPr>
          <w:rFonts w:ascii="Arial" w:hAnsi="Arial"/>
          <w:b w:val="0"/>
        </w:rPr>
        <w:t>Bachelor of Science in Nursing — Grand Canyon University</w:t>
      </w:r>
    </w:p>
    <w:p>
      <w:pPr>
        <w:spacing w:after="60" w:before="100"/>
      </w:pPr>
      <w:r>
        <w:rPr>
          <w:rFonts w:ascii="Arial" w:hAnsi="Arial"/>
          <w:b/>
          <w:sz w:val="21"/>
        </w:rPr>
        <w:t>LICENSURE &amp; CERTIFICATIONS</w:t>
      </w:r>
    </w:p>
    <w:p>
      <w:pPr>
        <w:spacing w:after="40"/>
      </w:pPr>
      <w:r>
        <w:rPr>
          <w:rFonts w:ascii="Arial" w:hAnsi="Arial"/>
          <w:b w:val="0"/>
        </w:rPr>
        <w:t>California Registered Nurse, License #95469373 | Nurse Licensure Compact, License #190777 | Certified Case Manager, CCM #4258931</w:t>
      </w:r>
    </w:p>
    <w:p>
      <w:pPr>
        <w:spacing w:after="60" w:before="100"/>
      </w:pPr>
      <w:r>
        <w:rPr>
          <w:rFonts w:ascii="Arial" w:hAnsi="Arial"/>
          <w:b/>
          <w:sz w:val="21"/>
        </w:rPr>
        <w:t>TECHNOLOGY &amp; PROFESSIONAL SKILLS</w:t>
      </w:r>
    </w:p>
    <w:p>
      <w:pPr>
        <w:spacing w:after="40"/>
      </w:pPr>
      <w:r>
        <w:rPr>
          <w:rFonts w:ascii="Arial" w:hAnsi="Arial"/>
          <w:b w:val="0"/>
        </w:rPr>
        <w:t>Epic | Alliance EMR | Microsoft 365 | Clinical Analytics | Population Health Platforms | MCG | Quality Auditing | Denial Management | Risk Mitigation | Grievance &amp; Complaint Investigation | Staff Coaching | Performance Evaluation | Training &amp; Development | Cross-Functional Leadership | Generative AI for workflow, documentation, and training support</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50"/>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